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endnotes+xml" PartName="/word/end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pPr>
        <w:spacing w:after="80"/>
      </w:pPr>
      <w:r>
        <w:rPr>
          <w:b/>
          <w:bCs/>
          <w:color w:val="1F3864"/>
          <w:sz w:val="52"/>
          <w:szCs w:val="52"/>
        </w:rPr>
        <w:t xml:space="preserve">Guia de Configuração</w:t>
      </w:r>
    </w:p>
    <w:p>
      <w:pPr>
        <w:spacing w:after="260"/>
      </w:pPr>
      <w:r>
        <w:rPr>
          <w:b/>
          <w:bCs/>
          <w:color w:val="2E5395"/>
          <w:sz w:val="32"/>
          <w:szCs w:val="32"/>
        </w:rPr>
        <w:t xml:space="preserve">API Oficial do WhatsApp (Meta Cloud API)</w:t>
      </w:r>
    </w:p>
    <w:p>
      <w:pPr>
        <w:spacing w:after="400"/>
      </w:pPr>
      <w:r>
        <w:rPr>
          <w:i/>
          <w:iCs/>
          <w:color w:val="555555"/>
          <w:sz w:val="22"/>
          <w:szCs w:val="22"/>
        </w:rPr>
        <w:t xml:space="preserve">Passo a passo completo: criação do app na Meta, configuração do número, geração do token permanente e ativação do webhook.</w:t>
      </w:r>
    </w:p>
    <w:tbl>
      <w:tblPr>
        <w:tblW w:type="pct" w:w="100%"/>
        <w:tblBorders>
          <w:top w:val="single" w:color="auto" w:sz="4"/>
          <w:left w:val="single" w:color="auto" w:sz="4"/>
          <w:bottom w:val="single" w:color="auto" w:sz="4"/>
          <w:right w:val="single" w:color="auto" w:sz="4"/>
          <w:insideH w:val="single" w:color="auto" w:sz="4"/>
          <w:insideV w:val="single" w:color="auto" w:sz="4"/>
        </w:tblBorders>
      </w:tblPr>
      <w:tblGrid>
        <w:gridCol w:w="100"/>
      </w:tblGrid>
      <w:tr>
        <w:tc>
          <w:tcPr>
            <w:shd w:fill="FFF4CE" w:val="clear"/>
            <w:tcMar>
              <w:top w:type="dxa" w:w="160"/>
              <w:left w:type="dxa" w:w="200"/>
              <w:bottom w:type="dxa" w:w="160"/>
              <w:right w:type="dxa" w:w="200"/>
            </w:tcMar>
          </w:tcPr>
          <w:p>
            <w:pPr>
              <w:spacing w:after="80"/>
            </w:pPr>
            <w:r>
              <w:rPr>
                <w:b/>
                <w:bCs/>
                <w:color w:val="7A5B00"/>
              </w:rPr>
              <w:t xml:space="preserve">Antes de começar — leia com atenção</w:t>
            </w:r>
          </w:p>
          <w:p>
            <w:pPr>
              <w:spacing w:after="40"/>
            </w:pPr>
            <w:r>
              <w:rPr>
                <w:color w:val="594400"/>
                <w:sz w:val="20"/>
                <w:szCs w:val="20"/>
              </w:rPr>
              <w:t xml:space="preserve">1.  Todas as capturas de tela deste guia foram feitas em um ambiente de teste; os dados exibidos (números, tokens, IDs) já foram desativados e servem apenas de referência visual.</w:t>
            </w:r>
          </w:p>
          <w:p>
            <w:pPr>
              <w:spacing w:after="40"/>
            </w:pPr>
            <w:r>
              <w:rPr>
                <w:color w:val="594400"/>
                <w:sz w:val="20"/>
                <w:szCs w:val="20"/>
              </w:rPr>
              <w:t xml:space="preserve">2.  A Meta atualiza sua plataforma com frequência. Se alguma tela estiver diferente do que você vê aqui, os nomes dos campos e a lógica geral do processo tendem a permanecer os mesmos.</w:t>
            </w:r>
          </w:p>
          <w:p>
            <w:pPr>
              <w:spacing w:after="40"/>
            </w:pPr>
            <w:r>
              <w:rPr>
                <w:color w:val="594400"/>
                <w:sz w:val="20"/>
                <w:szCs w:val="20"/>
              </w:rPr>
              <w:t xml:space="preserve">3.  Em caso de dúvida em qualquer etapa, o setor de suporte está disponível para ajudar.</w:t>
            </w:r>
          </w:p>
        </w:tc>
      </w:tr>
    </w:tbl>
    <w:p>
      <w:pPr>
        <w:spacing w:after="200"/>
      </w:pPr>
    </w:p>
    <w:p>
      <w:pPr>
        <w:pStyle w:val="Heading1"/>
        <w:spacing w:after="160" w:before="400"/>
      </w:pPr>
      <w:r>
        <w:t xml:space="preserve">1. Criando o aplicativo na Meta for Developers</w:t>
      </w:r>
    </w:p>
    <w:p>
      <w:pPr>
        <w:spacing w:after="160" w:line="300"/>
      </w:pPr>
      <w:r>
        <w:t xml:space="preserve">O primeiro passo é criar um aplicativo ("app") dentro do painel da Meta for Developers. É esse app que ficará vinculado ao número de WhatsApp e que gerará as credenciais de acesso à API.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Acesse developers.facebook.com e, na tela "What do you want to do?", selecione a opção Create a new app ID.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4572000" cy="2476500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9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Tela inicial de criação: escolha "Create a new app ID".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Caso ainda não tenha nenhum app, a página de Apps mostrará o botão Create App no canto superior direito — clique nele para começar.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5334000" cy="2438400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0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Painel de Apps sem nenhum aplicativo cadastrado ainda.</w:t>
      </w:r>
    </w:p>
    <w:p>
      <w:pPr>
        <w:pStyle w:val="Heading1"/>
        <w:spacing w:after="160" w:before="400"/>
      </w:pPr>
      <w:r>
        <w:t xml:space="preserve">2. Definindo o tipo de app e preenchendo os dados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Em Select an app type, escolha Business. Essa opção libera o gerenciamento de ativos de negócio como Páginas, WhatsApp, Instagram e Anúncios. Atenção: o tipo do app não pode ser alterado depois de criado.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5334000" cy="193357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1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Selecione o tipo de app "Business".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Na etapa Details, informe o nome do app, um e-mail de contato válido (será usado pela Meta em caso de restrições ou recuperação do app) e, opcionalmente, associe um portfólio de negócios já existente.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5334000" cy="2667000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2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Preenchimento do nome, e-mail e portfólio de negócios do app.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Com o app criado, a tela de produtos será exibida. Localize o card do WhatsApp e clique em Set up para iniciar a integração.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5334000" cy="2362200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3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Tela "Add products to your app" — clique em Set up no card do WhatsApp.</w:t>
      </w:r>
    </w:p>
    <w:p>
      <w:pPr>
        <w:pStyle w:val="Heading2"/>
        <w:spacing w:after="120" w:before="280"/>
      </w:pPr>
      <w:r>
        <w:t xml:space="preserve">Aceite os termos de uso</w:t>
      </w:r>
    </w:p>
    <w:p>
      <w:pPr>
        <w:spacing w:after="160" w:line="300"/>
      </w:pPr>
      <w:r>
        <w:t xml:space="preserve">Antes de prosseguir, aceite os Termos de Serviço da Plataforma WhatsApp Business.</w:t>
      </w:r>
    </w:p>
    <w:p>
      <w:pPr>
        <w:pStyle w:val="Heading1"/>
        <w:spacing w:after="160" w:before="400"/>
      </w:pPr>
      <w:r>
        <w:t xml:space="preserve">3. Aceitando os termos e iniciando a API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Clique em Accept Terms of Service para aceitar os Termos do Facebook para WhatsApp Business e os Termos de Hospedagem da Meta para a Cloud API.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Selecione o portfólio de negócios (Business Portfolio) que será o dono dessa integração. Você receberá um número de teste do WhatsApp, que permite enviar mensagens para até 5 números durante o desenvolvimento.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4381500" cy="290512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4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Aceite dos termos e seleção do portfólio de negócios.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Na tela de boas-vindas (Quickstart), clique em Start using the API para abrir o assistente de configuração.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4953000" cy="2457450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5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Tela de boas-vindas da WhatsApp Business Platform.</w:t>
      </w:r>
    </w:p>
    <w:p>
      <w:pPr>
        <w:pStyle w:val="Heading1"/>
        <w:spacing w:after="160" w:before="400"/>
      </w:pPr>
      <w:r>
        <w:t xml:space="preserve">4. Configuração inicial (API Setup)</w:t>
      </w:r>
    </w:p>
    <w:p>
      <w:pPr>
        <w:spacing w:after="160" w:line="300"/>
      </w:pPr>
      <w:r>
        <w:t xml:space="preserve">Nesta etapa você vai gerar um token de acesso temporário e cadastrar o número de telefone que enviará e receberá as mensagens.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Na seção API Setup, você pode gerar um Access Token temporário e escolher o número de teste em From. Para usar um número próprio, clique em Add phone number.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5334000" cy="237172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Painel de API Setup: token de acesso e seleção de número.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No formulário Add phone number, preencha as informações do negócio: nome comercial, site ou página de perfil (Instagram, por exemplo) e o país. Confirme também o reCAPTCHA "I'm not a robot".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3619500" cy="294322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Formulário com as informações do negócio.</w:t>
      </w:r>
    </w:p>
    <w:p>
      <w:pPr>
        <w:pStyle w:val="Heading1"/>
        <w:spacing w:after="160" w:before="400"/>
      </w:pPr>
      <w:r>
        <w:t xml:space="preserve">5. Definindo a categoria do negócio e o número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Escolha o Timezone correto e selecione a categoria que melhor representa o segmento do cliente (ex.: Entertainment, Education, Retail etc.).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3619500" cy="3314700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8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Seleção da categoria do negócio.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Informe o número de telefone que será usado no WhatsApp Business e escolha o método de verificação: SMS (Text message) ou chamada telefônica (Phone call). Números fixos devem usar a opção de chamada.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3810000" cy="162877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9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Cadastro e verificação do número de telefone.</w:t>
      </w:r>
    </w:p>
    <w:p>
      <w:pPr>
        <w:pStyle w:val="Heading1"/>
        <w:spacing w:after="160" w:before="400"/>
      </w:pPr>
      <w:r>
        <w:t xml:space="preserve">6. Guardando o Phone Number ID e o WhatsApp Business Account ID</w:t>
      </w:r>
    </w:p>
    <w:p>
      <w:pPr>
        <w:spacing w:after="160" w:line="300"/>
      </w:pPr>
      <w:r>
        <w:t xml:space="preserve">Depois que o número é verificado, a plataforma exibe dois identificadores essenciais — guarde-os, pois serão usados em praticamente todas as chamadas da API e na configuração do webhook.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4762500" cy="98107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20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Phone Number ID e WhatsApp Business Account ID.</w:t>
      </w:r>
    </w:p>
    <w:tbl>
      <w:tblPr>
        <w:tblW w:type="pct" w:w="100%"/>
        <w:tblBorders>
          <w:top w:val="single" w:color="auto" w:sz="4"/>
          <w:left w:val="single" w:color="auto" w:sz="4"/>
          <w:bottom w:val="single" w:color="auto" w:sz="4"/>
          <w:right w:val="single" w:color="auto" w:sz="4"/>
          <w:insideH w:val="single" w:color="auto" w:sz="4"/>
          <w:insideV w:val="single" w:color="auto" w:sz="4"/>
        </w:tblBorders>
      </w:tblPr>
      <w:tblGrid>
        <w:gridCol w:w="100"/>
      </w:tblGrid>
      <w:tr>
        <w:tc>
          <w:tcPr>
            <w:shd w:fill="E7F0FF" w:val="clear"/>
            <w:tcMar>
              <w:top w:type="dxa" w:w="160"/>
              <w:left w:type="dxa" w:w="200"/>
              <w:bottom w:type="dxa" w:w="160"/>
              <w:right w:type="dxa" w:w="200"/>
            </w:tcMar>
          </w:tcPr>
          <w:p>
            <w:pPr>
              <w:spacing w:after="40"/>
            </w:pPr>
            <w:r>
              <w:rPr>
                <w:color w:val="1F3864"/>
                <w:sz w:val="20"/>
                <w:szCs w:val="20"/>
              </w:rPr>
              <w:t xml:space="preserve">Phone Number ID → identifica o número dentro da API (usado para enviar mensagens).</w:t>
            </w:r>
          </w:p>
          <w:p>
            <w:pPr>
              <w:spacing w:after="40"/>
            </w:pPr>
            <w:r>
              <w:rPr>
                <w:color w:val="1F3864"/>
                <w:sz w:val="20"/>
                <w:szCs w:val="20"/>
              </w:rPr>
              <w:t xml:space="preserve">WhatsApp Business Account ID (WABA ID) → identifica a conta comercial como um todo.</w:t>
            </w:r>
          </w:p>
        </w:tc>
      </w:tr>
    </w:tbl>
    <w:p>
      <w:pPr>
        <w:pStyle w:val="Heading1"/>
        <w:spacing w:after="160" w:before="400"/>
      </w:pPr>
      <w:r>
        <w:t xml:space="preserve">7. Criando o usuário administrativo (system user)</w:t>
      </w:r>
    </w:p>
    <w:p>
      <w:pPr>
        <w:spacing w:after="160" w:line="300"/>
      </w:pPr>
      <w:r>
        <w:t xml:space="preserve">Para gerar um token permanente — que não expira e não depende de uma sessão de usuário — é preciso criar um usuário de sistema (System User) dentro das configurações do Business Manager.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No Business Settings, acesse Users → System users. Antes de criar o usuário de sistema, confirme que o app aparece corretamente associado ao seu portfólio.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5334000" cy="258127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23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Visão geral do app dentro do Business Settings.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Clique em Add para criar um novo usuário de sistema.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4953000" cy="290512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24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Nenhum usuário de sistema cadastrado ainda — clique em Add.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Defina um nome para o usuário (ex.: "plurizap") e escolha a função Admin em System user role.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3619500" cy="2686050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25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Criação do usuário de sistema com papel Admin.</w:t>
      </w:r>
    </w:p>
    <w:p>
      <w:pPr>
        <w:pStyle w:val="Heading1"/>
        <w:spacing w:after="160" w:before="400"/>
      </w:pPr>
      <w:r>
        <w:t xml:space="preserve">8. Vinculando o app e o número ao usuário de sistema</w:t>
      </w:r>
    </w:p>
    <w:p>
      <w:pPr>
        <w:spacing w:after="160" w:line="300"/>
      </w:pPr>
      <w:r>
        <w:t xml:space="preserve">Com o usuário de sistema criado, é necessário atribuir a ele acesso total ao app e à conta do WhatsApp Business.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Selecione o usuário criado e clique em Assign assets.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5334000" cy="2838450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2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Usuário de sistema criado, ainda sem ativos atribuídos.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Em Select asset type, escolha Apps, marque o app correspondente e ative a permissão Manage app (Full control).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4381500" cy="2724150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2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Atribuição de acesso total ao app.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Repita o processo em Select asset type → WhatsApp accounts, selecione a conta do WhatsApp Business e ative Manage WhatsApp business accounts (Full control). Clique em Assign assets para confirmar.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4381500" cy="271462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28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Atribuição de acesso total à conta do WhatsApp Business.</w:t>
      </w:r>
    </w:p>
    <w:p>
      <w:pPr>
        <w:pStyle w:val="Heading1"/>
        <w:spacing w:after="160" w:before="400"/>
      </w:pPr>
      <w:r>
        <w:t xml:space="preserve">9. Gerando o token permanente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De volta à tela do usuário de sistema, clique em Generate token.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5334000" cy="284797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29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Botão Generate token no usuário de sistema.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Selecione o app para o qual o token será gerado.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3619500" cy="258127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30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Seleção do app para geração do token.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Em When should the token expire?, selecione Never para que o token não expire — essencial para integrações em produção.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3619500" cy="2571750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31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Definindo o token para nunca expirar.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Marque as permissões (scopes) do token. As permissões corretas e atualizadas são:</w:t>
      </w:r>
    </w:p>
    <w:tbl>
      <w:tblPr>
        <w:tblW w:type="pct" w:w="100%"/>
        <w:tblBorders>
          <w:top w:val="single" w:color="auto" w:sz="4"/>
          <w:left w:val="single" w:color="auto" w:sz="4"/>
          <w:bottom w:val="single" w:color="auto" w:sz="4"/>
          <w:right w:val="single" w:color="auto" w:sz="4"/>
          <w:insideH w:val="single" w:color="auto" w:sz="4"/>
          <w:insideV w:val="single" w:color="auto" w:sz="4"/>
        </w:tblBorders>
      </w:tblPr>
      <w:tblGrid>
        <w:gridCol w:w="100"/>
      </w:tblGrid>
      <w:tr>
        <w:tc>
          <w:tcPr>
            <w:shd w:fill="E7F6EC" w:val="clear"/>
            <w:tcMar>
              <w:top w:type="dxa" w:w="160"/>
              <w:left w:type="dxa" w:w="200"/>
              <w:bottom w:type="dxa" w:w="160"/>
              <w:right w:type="dxa" w:w="200"/>
            </w:tcMar>
          </w:tcPr>
          <w:p>
            <w:pPr>
              <w:spacing w:after="40"/>
            </w:pPr>
            <w:r>
              <w:rPr>
                <w:color w:val="1E5B34"/>
                <w:sz w:val="20"/>
                <w:szCs w:val="20"/>
              </w:rPr>
              <w:t xml:space="preserve">whatsapp_business_messaging</w:t>
            </w:r>
          </w:p>
          <w:p>
            <w:pPr>
              <w:spacing w:after="40"/>
            </w:pPr>
            <w:r>
              <w:rPr>
                <w:color w:val="1E5B34"/>
                <w:sz w:val="20"/>
                <w:szCs w:val="20"/>
              </w:rPr>
              <w:t xml:space="preserve">whatsapp_business_management</w:t>
            </w:r>
          </w:p>
          <w:p>
            <w:pPr>
              <w:spacing w:after="40"/>
            </w:pPr>
            <w:r>
              <w:rPr>
                <w:color w:val="1E5B34"/>
                <w:sz w:val="20"/>
                <w:szCs w:val="20"/>
              </w:rPr>
              <w:t xml:space="preserve">business_management</w:t>
            </w:r>
          </w:p>
        </w:tc>
      </w:tr>
    </w:tbl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3619500" cy="261937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32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Seleção das permissões do token.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Clique em Generate token e copie o valor exibido imediatamente — ele não ficará visível novamente depois de fechar essa janela.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3619500" cy="2571750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33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Token gerado com sucesso — copie e guarde em local seguro.</w:t>
      </w:r>
    </w:p>
    <w:tbl>
      <w:tblPr>
        <w:tblW w:type="pct" w:w="100%"/>
        <w:tblBorders>
          <w:top w:val="single" w:color="auto" w:sz="4"/>
          <w:left w:val="single" w:color="auto" w:sz="4"/>
          <w:bottom w:val="single" w:color="auto" w:sz="4"/>
          <w:right w:val="single" w:color="auto" w:sz="4"/>
          <w:insideH w:val="single" w:color="auto" w:sz="4"/>
          <w:insideV w:val="single" w:color="auto" w:sz="4"/>
        </w:tblBorders>
      </w:tblPr>
      <w:tblGrid>
        <w:gridCol w:w="100"/>
      </w:tblGrid>
      <w:tr>
        <w:tc>
          <w:tcPr>
            <w:shd w:fill="FDEAEA" w:val="clear"/>
            <w:tcMar>
              <w:top w:type="dxa" w:w="160"/>
              <w:left w:type="dxa" w:w="200"/>
              <w:bottom w:type="dxa" w:w="160"/>
              <w:right w:type="dxa" w:w="200"/>
            </w:tcMar>
          </w:tcPr>
          <w:p>
            <w:pPr>
              <w:spacing w:after="80"/>
            </w:pPr>
            <w:r>
              <w:rPr>
                <w:b/>
                <w:bCs/>
                <w:color w:val="8A1F1F"/>
              </w:rPr>
              <w:t xml:space="preserve">Atenção</w:t>
            </w:r>
          </w:p>
          <w:p>
            <w:pPr>
              <w:spacing w:after="40"/>
            </w:pPr>
            <w:r>
              <w:rPr>
                <w:color w:val="8A1F1F"/>
                <w:sz w:val="20"/>
                <w:szCs w:val="20"/>
              </w:rPr>
              <w:t xml:space="preserve">Esse token concede acesso total à conta do WhatsApp Business. Trate-o como uma senha: nunca o exponha em repositórios públicos ou no front-end da aplicação.</w:t>
            </w:r>
          </w:p>
        </w:tc>
      </w:tr>
    </w:tbl>
    <w:p>
      <w:pPr>
        <w:pStyle w:val="Heading1"/>
        <w:spacing w:after="160" w:before="400"/>
      </w:pPr>
      <w:r>
        <w:t xml:space="preserve">10. Ajustes finais do app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Em App settings → Basic, preencha a Privacy Policy URL e a Terms of Service URL do seu negócio. Esses campos são obrigatórios para publicar o app.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5334000" cy="250507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39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Preenchimento da política de privacidade e dos termos de uso.</w:t>
      </w:r>
    </w:p>
    <w:p>
      <w:pPr>
        <w:shd w:fill="F3F3F3" w:val="clear"/>
        <w:spacing w:after="60"/>
      </w:pPr>
      <w:r>
        <w:rPr>
          <w:rFonts w:ascii="Consolas" w:cs="Consolas" w:eastAsia="Consolas" w:hAnsi="Consolas"/>
          <w:color w:val="1a1a1a"/>
          <w:sz w:val="19"/>
          <w:szCs w:val="19"/>
        </w:rPr>
        <w:t xml:space="preserve">Política de privacidade:  https://comunidadezdg.com.br/politica-de-privacidade/</w:t>
      </w:r>
    </w:p>
    <w:p>
      <w:pPr>
        <w:shd w:fill="F3F3F3" w:val="clear"/>
        <w:spacing w:after="60"/>
      </w:pPr>
      <w:r>
        <w:rPr>
          <w:rFonts w:ascii="Consolas" w:cs="Consolas" w:eastAsia="Consolas" w:hAnsi="Consolas"/>
          <w:color w:val="1a1a1a"/>
          <w:sz w:val="19"/>
          <w:szCs w:val="19"/>
        </w:rPr>
        <w:t xml:space="preserve">Termos de uso:           https://comunidadezdg.com.br/termos-de-uso/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Volte ao Dashboard do app e, quando toda a configuração estiver validada, alterne o App Mode de Development para Live para liberar o uso em produção.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5334000" cy="2514600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40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Dashboard do app pronto para ser colocado em modo Live.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4381500" cy="29527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41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Confirmação do app em modo Live.</w:t>
      </w:r>
    </w:p>
    <w:p>
      <w:pPr>
        <w:pStyle w:val="Heading1"/>
        <w:spacing w:after="160" w:before="400"/>
      </w:pPr>
      <w:r>
        <w:t xml:space="preserve">11. Preenchendo os dados no sistema/CRM</w:t>
      </w:r>
    </w:p>
    <w:p>
      <w:pPr>
        <w:spacing w:after="160" w:line="300"/>
      </w:pPr>
      <w:r>
        <w:t xml:space="preserve">Com o app em modo Live, use as credenciais coletadas ao longo deste guia para concluir a integração no seu sistema (CRM, chatbot, etc.).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4762500" cy="1466850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42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App ID e modo Live confirmados no painel da Meta.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No canal de chat do seu sistema, selecione o tipo Whatsapp / Oficial META e preencha os campos com os dados obtidos: Token (token permanente gerado), App name (nome do app), Chave (Phone Number ID) e o número verificado.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4381500" cy="231457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43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Tela de cadastro do canal de WhatsApp Oficial dentro do CRM.</w:t>
      </w:r>
    </w:p>
    <w:p>
      <w:pPr>
        <w:pStyle w:val="Heading1"/>
        <w:spacing w:after="160" w:before="400"/>
      </w:pPr>
      <w:r>
        <w:t xml:space="preserve">12. Configurando o Webhook</w:t>
      </w:r>
    </w:p>
    <w:p>
      <w:pPr>
        <w:spacing w:after="160" w:line="300"/>
      </w:pPr>
      <w:r>
        <w:t xml:space="preserve">O webhook é o canal pelo qual a Meta envia, em tempo real, as mensagens recebidas e as atualizações de status para o seu sistema.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Clique em Configure webhooks na etapa "Configure webhooks to receive messages".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4762500" cy="419100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21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Botão para configurar o webhook.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Preencha a Callback URL com o endereço do seu servidor e, no campo Verify Token, utilize o Phone Number ID salvo anteriormente. Em seguida, clique em Verify and save.</w:t>
      </w:r>
    </w:p>
    <w:p>
      <w:pPr>
        <w:shd w:fill="F3F3F3" w:val="clear"/>
        <w:spacing w:after="60"/>
      </w:pPr>
      <w:r>
        <w:rPr>
          <w:rFonts w:ascii="Consolas" w:cs="Consolas" w:eastAsia="Consolas" w:hAnsi="Consolas"/>
          <w:color w:val="1a1a1a"/>
          <w:sz w:val="19"/>
          <w:szCs w:val="19"/>
        </w:rPr>
        <w:t xml:space="preserve">Callback URL:  https://dnsdocliente.com/chat/app/webhook/whatsapp_meta.php</w:t>
      </w:r>
    </w:p>
    <w:p>
      <w:pPr>
        <w:shd w:fill="F3F3F3" w:val="clear"/>
        <w:spacing w:after="60"/>
      </w:pPr>
      <w:r>
        <w:rPr>
          <w:rFonts w:ascii="Consolas" w:cs="Consolas" w:eastAsia="Consolas" w:hAnsi="Consolas"/>
          <w:color w:val="1a1a1a"/>
          <w:sz w:val="19"/>
          <w:szCs w:val="19"/>
        </w:rPr>
        <w:t xml:space="preserve">Verify Token:  [Phone Number ID salvo na etapa 6]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4953000" cy="1695450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22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Configuração da Callback URL e do Verify Token.</w:t>
      </w:r>
    </w:p>
    <w:p>
      <w:pPr>
        <w:pStyle w:val="Heading1"/>
        <w:spacing w:after="160" w:before="400"/>
      </w:pPr>
      <w:r>
        <w:t xml:space="preserve">13. Configurando as permissões (campos) do webhook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No menu lateral do app, acesse WhatsApp → Quickstart (ou Configuration) para revisar a integração e localizar a seção de Webhooks.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5334000" cy="250507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34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Painel do app com os produtos do WhatsApp configurados.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Confirme novamente a Callback URL e o Verify Token na seção de Webhooks; clique em Verify and save.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5334000" cy="237172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35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Tela de configuração do webhook com URL e token.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Em Select product, escolha WhatsApp Business Account. Nessa tela ficam listados todos os campos (webhook fields) disponíveis para assinatura.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4953000" cy="250507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3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Seleção do produto "Whatsapp Business Account" para os webhooks.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Ative (Subscribe) pelo menos os campos messages e flows, que cobrem o recebimento de mensagens e atualizações de fluxo. Ative outros campos apenas se o seu sistema realmente for utilizá-los.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4953000" cy="256222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3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Ativação dos campos "flows" e "messages" no webhook.</w:t>
      </w:r>
    </w:p>
    <w:p>
      <w:pPr>
        <w:pStyle w:val="ListParagraph"/>
        <w:numPr>
          <w:ilvl w:val="0"/>
          <w:numId w:val="2"/>
        </w:numPr>
        <w:spacing w:after="100"/>
      </w:pPr>
      <w:r>
        <w:rPr>
          <w:b w:val="false"/>
          <w:bCs w:val="false"/>
        </w:rPr>
        <w:t xml:space="preserve">Sempre que possível, mantenha todos os campos assinados na mesma versão da API — recomenda-se a versão v25.0 — para evitar inconsistências nas atualizações recebidas.</w:t>
      </w:r>
    </w:p>
    <w:p>
      <w:pPr>
        <w:pBdr>
          <w:top w:val="single" w:color="D9D9D9" w:sz="4"/>
          <w:bottom w:val="single" w:color="D9D9D9" w:sz="4"/>
          <w:left w:val="single" w:color="D9D9D9" w:sz="4"/>
          <w:right w:val="single" w:color="D9D9D9" w:sz="4"/>
        </w:pBdr>
        <w:spacing w:after="60" w:before="160"/>
        <w:jc w:val="center"/>
      </w:pPr>
      <w:r>
        <w:drawing>
          <wp:inline distT="0" distB="0" distL="0" distR="0">
            <wp:extent cx="3810000" cy="2647950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38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  <w:jc w:val="center"/>
      </w:pPr>
      <w:r>
        <w:rPr>
          <w:i/>
          <w:iCs/>
          <w:color w:val="666666"/>
          <w:sz w:val="18"/>
          <w:szCs w:val="18"/>
        </w:rPr>
        <w:t xml:space="preserve">Padronize a versão dos webhooks para v25.0.</w:t>
      </w:r>
    </w:p>
    <w:p>
      <w:pPr>
        <w:pStyle w:val="Heading1"/>
        <w:spacing w:after="160" w:before="400"/>
      </w:pPr>
      <w:r>
        <w:t xml:space="preserve">Resumo — dados que você precisa guardar</w:t>
      </w:r>
    </w:p>
    <w:p>
      <w:pPr>
        <w:spacing w:after="160" w:line="300"/>
      </w:pPr>
      <w:r>
        <w:t xml:space="preserve">Use a tabela abaixo como checklist final antes de considerar a integração concluída.</w:t>
      </w:r>
    </w:p>
    <w:tbl>
      <w:tblPr>
        <w:tblW w:type="pct" w:w="100%"/>
        <w:tblBorders>
          <w:top w:val="single" w:color="auto" w:sz="4"/>
          <w:left w:val="single" w:color="auto" w:sz="4"/>
          <w:bottom w:val="single" w:color="auto" w:sz="4"/>
          <w:right w:val="single" w:color="auto" w:sz="4"/>
          <w:insideH w:val="single" w:color="auto" w:sz="4"/>
          <w:insideV w:val="single" w:color="auto" w:sz="4"/>
        </w:tblBorders>
      </w:tblPr>
      <w:tblGrid>
        <w:gridCol w:w="2500"/>
        <w:gridCol w:w="6900"/>
      </w:tblGrid>
      <w:tr>
        <w:tc>
          <w:tcPr>
            <w:tcW w:type="dxa" w:w="2500"/>
            <w:shd w:fill="2E5395" w:val="clear"/>
            <w:tcMar>
              <w:top w:type="dxa" w:w="100"/>
              <w:left w:type="dxa" w:w="120"/>
              <w:bottom w:type="dxa" w:w="100"/>
              <w:right w:type="dxa" w:w="120"/>
            </w:tcMar>
          </w:tcPr>
          <w:p>
            <w:r>
              <w:rPr>
                <w:b/>
                <w:bCs/>
                <w:color w:val="FFFFFF"/>
              </w:rPr>
              <w:t xml:space="preserve">Etapa</w:t>
            </w:r>
          </w:p>
        </w:tc>
        <w:tc>
          <w:tcPr>
            <w:tcW w:type="dxa" w:w="6900"/>
            <w:shd w:fill="2E5395" w:val="clear"/>
            <w:tcMar>
              <w:top w:type="dxa" w:w="100"/>
              <w:left w:type="dxa" w:w="120"/>
              <w:bottom w:type="dxa" w:w="100"/>
              <w:right w:type="dxa" w:w="120"/>
            </w:tcMar>
          </w:tcPr>
          <w:p>
            <w:r>
              <w:rPr>
                <w:b/>
                <w:bCs/>
                <w:color w:val="FFFFFF"/>
              </w:rPr>
              <w:t xml:space="preserve">O que guardar / verificar</w:t>
            </w:r>
          </w:p>
        </w:tc>
      </w:tr>
      <w:tr>
        <w:tc>
          <w:tcPr>
            <w:shd w:fill="F2F6FC" w:val="clear"/>
            <w:tcMar>
              <w:top w:type="dxa" w:w="100"/>
              <w:left w:type="dxa" w:w="120"/>
              <w:bottom w:type="dxa" w:w="100"/>
              <w:right w:type="dxa" w:w="120"/>
            </w:tcMar>
          </w:tcPr>
          <w:p>
            <w:r>
              <w:rPr>
                <w:b/>
                <w:bCs/>
                <w:sz w:val="20"/>
                <w:szCs w:val="20"/>
              </w:rPr>
              <w:t xml:space="preserve">Phone Number ID</w:t>
            </w:r>
          </w:p>
        </w:tc>
        <w:tc>
          <w:tcPr>
            <w:shd w:fill="F2F6FC" w:val="clear"/>
            <w:tcMar>
              <w:top w:type="dxa" w:w="100"/>
              <w:left w:type="dxa" w:w="120"/>
              <w:bottom w:type="dxa" w:w="100"/>
              <w:right w:type="dxa" w:w="120"/>
            </w:tcMar>
          </w:tcPr>
          <w:p>
            <w:r>
              <w:rPr>
                <w:sz w:val="20"/>
                <w:szCs w:val="20"/>
              </w:rPr>
              <w:t xml:space="preserve">Identificador do número de telefone (obtido na etapa 6).</w:t>
            </w:r>
          </w:p>
        </w:tc>
      </w:tr>
      <w:tr>
        <w:tc>
          <w:tcPr>
            <w:shd w:fill="FFFFFF" w:val="clear"/>
            <w:tcMar>
              <w:top w:type="dxa" w:w="100"/>
              <w:left w:type="dxa" w:w="120"/>
              <w:bottom w:type="dxa" w:w="100"/>
              <w:right w:type="dxa" w:w="120"/>
            </w:tcMar>
          </w:tcPr>
          <w:p>
            <w:r>
              <w:rPr>
                <w:b/>
                <w:bCs/>
                <w:sz w:val="20"/>
                <w:szCs w:val="20"/>
              </w:rPr>
              <w:t xml:space="preserve">WhatsApp Business Account ID</w:t>
            </w:r>
          </w:p>
        </w:tc>
        <w:tc>
          <w:tcPr>
            <w:shd w:fill="FFFFFF" w:val="clear"/>
            <w:tcMar>
              <w:top w:type="dxa" w:w="100"/>
              <w:left w:type="dxa" w:w="120"/>
              <w:bottom w:type="dxa" w:w="100"/>
              <w:right w:type="dxa" w:w="120"/>
            </w:tcMar>
          </w:tcPr>
          <w:p>
            <w:r>
              <w:rPr>
                <w:sz w:val="20"/>
                <w:szCs w:val="20"/>
              </w:rPr>
              <w:t xml:space="preserve">Identificador da conta comercial do WhatsApp (etapa 6).</w:t>
            </w:r>
          </w:p>
        </w:tc>
      </w:tr>
      <w:tr>
        <w:tc>
          <w:tcPr>
            <w:shd w:fill="F2F6FC" w:val="clear"/>
            <w:tcMar>
              <w:top w:type="dxa" w:w="100"/>
              <w:left w:type="dxa" w:w="120"/>
              <w:bottom w:type="dxa" w:w="100"/>
              <w:right w:type="dxa" w:w="120"/>
            </w:tcMar>
          </w:tcPr>
          <w:p>
            <w:r>
              <w:rPr>
                <w:b/>
                <w:bCs/>
                <w:sz w:val="20"/>
                <w:szCs w:val="20"/>
              </w:rPr>
              <w:t xml:space="preserve">Verify Token do webhook</w:t>
            </w:r>
          </w:p>
        </w:tc>
        <w:tc>
          <w:tcPr>
            <w:shd w:fill="F2F6FC" w:val="clear"/>
            <w:tcMar>
              <w:top w:type="dxa" w:w="100"/>
              <w:left w:type="dxa" w:w="120"/>
              <w:bottom w:type="dxa" w:w="100"/>
              <w:right w:type="dxa" w:w="120"/>
            </w:tcMar>
          </w:tcPr>
          <w:p>
            <w:r>
              <w:rPr>
                <w:sz w:val="20"/>
                <w:szCs w:val="20"/>
              </w:rPr>
              <w:t xml:space="preserve">Mesmo valor do Phone Number ID (etapa 12).</w:t>
            </w:r>
          </w:p>
        </w:tc>
      </w:tr>
      <w:tr>
        <w:tc>
          <w:tcPr>
            <w:shd w:fill="FFFFFF" w:val="clear"/>
            <w:tcMar>
              <w:top w:type="dxa" w:w="100"/>
              <w:left w:type="dxa" w:w="120"/>
              <w:bottom w:type="dxa" w:w="100"/>
              <w:right w:type="dxa" w:w="120"/>
            </w:tcMar>
          </w:tcPr>
          <w:p>
            <w:r>
              <w:rPr>
                <w:b/>
                <w:bCs/>
                <w:sz w:val="20"/>
                <w:szCs w:val="20"/>
              </w:rPr>
              <w:t xml:space="preserve">Callback URL</w:t>
            </w:r>
          </w:p>
        </w:tc>
        <w:tc>
          <w:tcPr>
            <w:shd w:fill="FFFFFF" w:val="clear"/>
            <w:tcMar>
              <w:top w:type="dxa" w:w="100"/>
              <w:left w:type="dxa" w:w="120"/>
              <w:bottom w:type="dxa" w:w="100"/>
              <w:right w:type="dxa" w:w="120"/>
            </w:tcMar>
          </w:tcPr>
          <w:p>
            <w:r>
              <w:rPr>
                <w:sz w:val="20"/>
                <w:szCs w:val="20"/>
              </w:rPr>
              <w:t xml:space="preserve">Endereço do endpoint que recebe os eventos do webhook (etapa 12).</w:t>
            </w:r>
          </w:p>
        </w:tc>
      </w:tr>
      <w:tr>
        <w:tc>
          <w:tcPr>
            <w:shd w:fill="F2F6FC" w:val="clear"/>
            <w:tcMar>
              <w:top w:type="dxa" w:w="100"/>
              <w:left w:type="dxa" w:w="120"/>
              <w:bottom w:type="dxa" w:w="100"/>
              <w:right w:type="dxa" w:w="120"/>
            </w:tcMar>
          </w:tcPr>
          <w:p>
            <w:r>
              <w:rPr>
                <w:b/>
                <w:bCs/>
                <w:sz w:val="20"/>
                <w:szCs w:val="20"/>
              </w:rPr>
              <w:t xml:space="preserve">Usuário de sistema (Admin)</w:t>
            </w:r>
          </w:p>
        </w:tc>
        <w:tc>
          <w:tcPr>
            <w:shd w:fill="F2F6FC" w:val="clear"/>
            <w:tcMar>
              <w:top w:type="dxa" w:w="100"/>
              <w:left w:type="dxa" w:w="120"/>
              <w:bottom w:type="dxa" w:w="100"/>
              <w:right w:type="dxa" w:w="120"/>
            </w:tcMar>
          </w:tcPr>
          <w:p>
            <w:r>
              <w:rPr>
                <w:sz w:val="20"/>
                <w:szCs w:val="20"/>
              </w:rPr>
              <w:t xml:space="preserve">Criado no Business Settings, com o app e o número atribuídos (etapas 7 e 8).</w:t>
            </w:r>
          </w:p>
        </w:tc>
      </w:tr>
      <w:tr>
        <w:tc>
          <w:tcPr>
            <w:shd w:fill="FFFFFF" w:val="clear"/>
            <w:tcMar>
              <w:top w:type="dxa" w:w="100"/>
              <w:left w:type="dxa" w:w="120"/>
              <w:bottom w:type="dxa" w:w="100"/>
              <w:right w:type="dxa" w:w="120"/>
            </w:tcMar>
          </w:tcPr>
          <w:p>
            <w:r>
              <w:rPr>
                <w:b/>
                <w:bCs/>
                <w:sz w:val="20"/>
                <w:szCs w:val="20"/>
              </w:rPr>
              <w:t xml:space="preserve">Token permanente</w:t>
            </w:r>
          </w:p>
        </w:tc>
        <w:tc>
          <w:tcPr>
            <w:shd w:fill="FFFFFF" w:val="clear"/>
            <w:tcMar>
              <w:top w:type="dxa" w:w="100"/>
              <w:left w:type="dxa" w:w="120"/>
              <w:bottom w:type="dxa" w:w="100"/>
              <w:right w:type="dxa" w:w="120"/>
            </w:tcMar>
          </w:tcPr>
          <w:p>
            <w:r>
              <w:rPr>
                <w:sz w:val="20"/>
                <w:szCs w:val="20"/>
              </w:rPr>
              <w:t xml:space="preserve">Gerado com expiração "Never" e as permissões whatsapp_business_messaging, whatsapp_business_management e business_management (etapa 9).</w:t>
            </w:r>
          </w:p>
        </w:tc>
      </w:tr>
      <w:tr>
        <w:tc>
          <w:tcPr>
            <w:shd w:fill="F2F6FC" w:val="clear"/>
            <w:tcMar>
              <w:top w:type="dxa" w:w="100"/>
              <w:left w:type="dxa" w:w="120"/>
              <w:bottom w:type="dxa" w:w="100"/>
              <w:right w:type="dxa" w:w="120"/>
            </w:tcMar>
          </w:tcPr>
          <w:p>
            <w:r>
              <w:rPr>
                <w:b/>
                <w:bCs/>
                <w:sz w:val="20"/>
                <w:szCs w:val="20"/>
              </w:rPr>
              <w:t xml:space="preserve">Campos do webhook</w:t>
            </w:r>
          </w:p>
        </w:tc>
        <w:tc>
          <w:tcPr>
            <w:shd w:fill="F2F6FC" w:val="clear"/>
            <w:tcMar>
              <w:top w:type="dxa" w:w="100"/>
              <w:left w:type="dxa" w:w="120"/>
              <w:bottom w:type="dxa" w:w="100"/>
              <w:right w:type="dxa" w:w="120"/>
            </w:tcMar>
          </w:tcPr>
          <w:p>
            <w:r>
              <w:rPr>
                <w:sz w:val="20"/>
                <w:szCs w:val="20"/>
              </w:rPr>
              <w:t xml:space="preserve">messages e flows assinados, preferencialmente na versão v25.0 (etapa 13).</w:t>
            </w:r>
          </w:p>
        </w:tc>
      </w:tr>
      <w:tr>
        <w:tc>
          <w:tcPr>
            <w:shd w:fill="FFFFFF" w:val="clear"/>
            <w:tcMar>
              <w:top w:type="dxa" w:w="100"/>
              <w:left w:type="dxa" w:w="120"/>
              <w:bottom w:type="dxa" w:w="100"/>
              <w:right w:type="dxa" w:w="120"/>
            </w:tcMar>
          </w:tcPr>
          <w:p>
            <w:r>
              <w:rPr>
                <w:b/>
                <w:bCs/>
                <w:sz w:val="20"/>
                <w:szCs w:val="20"/>
              </w:rPr>
              <w:t xml:space="preserve">Política de privacidade e termos de uso</w:t>
            </w:r>
          </w:p>
        </w:tc>
        <w:tc>
          <w:tcPr>
            <w:shd w:fill="FFFFFF" w:val="clear"/>
            <w:tcMar>
              <w:top w:type="dxa" w:w="100"/>
              <w:left w:type="dxa" w:w="120"/>
              <w:bottom w:type="dxa" w:w="100"/>
              <w:right w:type="dxa" w:w="120"/>
            </w:tcMar>
          </w:tcPr>
          <w:p>
            <w:r>
              <w:rPr>
                <w:sz w:val="20"/>
                <w:szCs w:val="20"/>
              </w:rPr>
              <w:t xml:space="preserve">URLs cadastradas em App settings (etapa 10).</w:t>
            </w:r>
          </w:p>
        </w:tc>
      </w:tr>
      <w:tr>
        <w:tc>
          <w:tcPr>
            <w:shd w:fill="F2F6FC" w:val="clear"/>
            <w:tcMar>
              <w:top w:type="dxa" w:w="100"/>
              <w:left w:type="dxa" w:w="120"/>
              <w:bottom w:type="dxa" w:w="100"/>
              <w:right w:type="dxa" w:w="120"/>
            </w:tcMar>
          </w:tcPr>
          <w:p>
            <w:r>
              <w:rPr>
                <w:b/>
                <w:bCs/>
                <w:sz w:val="20"/>
                <w:szCs w:val="20"/>
              </w:rPr>
              <w:t xml:space="preserve">Modo do app</w:t>
            </w:r>
          </w:p>
        </w:tc>
        <w:tc>
          <w:tcPr>
            <w:shd w:fill="F2F6FC" w:val="clear"/>
            <w:tcMar>
              <w:top w:type="dxa" w:w="100"/>
              <w:left w:type="dxa" w:w="120"/>
              <w:bottom w:type="dxa" w:w="100"/>
              <w:right w:type="dxa" w:w="120"/>
            </w:tcMar>
          </w:tcPr>
          <w:p>
            <w:r>
              <w:rPr>
                <w:sz w:val="20"/>
                <w:szCs w:val="20"/>
              </w:rPr>
              <w:t xml:space="preserve">Alternado de Development para Live (etapa 10).</w:t>
            </w:r>
          </w:p>
        </w:tc>
      </w:tr>
    </w:tbl>
    <w:p>
      <w:pPr>
        <w:spacing w:after="200"/>
      </w:pPr>
    </w:p>
    <w:tbl>
      <w:tblPr>
        <w:tblW w:type="pct" w:w="100%"/>
        <w:tblBorders>
          <w:top w:val="single" w:color="auto" w:sz="4"/>
          <w:left w:val="single" w:color="auto" w:sz="4"/>
          <w:bottom w:val="single" w:color="auto" w:sz="4"/>
          <w:right w:val="single" w:color="auto" w:sz="4"/>
          <w:insideH w:val="single" w:color="auto" w:sz="4"/>
          <w:insideV w:val="single" w:color="auto" w:sz="4"/>
        </w:tblBorders>
      </w:tblPr>
      <w:tblGrid>
        <w:gridCol w:w="100"/>
      </w:tblGrid>
      <w:tr>
        <w:tc>
          <w:tcPr>
            <w:shd w:fill="F2F2F2" w:val="clear"/>
            <w:tcMar>
              <w:top w:type="dxa" w:w="160"/>
              <w:left w:type="dxa" w:w="200"/>
              <w:bottom w:type="dxa" w:w="160"/>
              <w:right w:type="dxa" w:w="200"/>
            </w:tcMar>
          </w:tcPr>
          <w:p>
            <w:pPr>
              <w:spacing w:after="80"/>
            </w:pPr>
            <w:r>
              <w:rPr>
                <w:b/>
                <w:bCs/>
                <w:color w:val="444444"/>
              </w:rPr>
              <w:t xml:space="preserve">Observação final</w:t>
            </w:r>
          </w:p>
          <w:p>
            <w:pPr>
              <w:spacing w:after="40"/>
            </w:pPr>
            <w:r>
              <w:rPr>
                <w:color w:val="444444"/>
                <w:sz w:val="20"/>
                <w:szCs w:val="20"/>
              </w:rPr>
              <w:t xml:space="preserve">Este guia reflete a interface da Meta no momento em que as capturas de tela foram feitas. Como a plataforma é atualizada com frequência, pequenas variações de layout podem ocorrer — a lógica geral do processo, porém, tende a se manter a mesma.</w:t>
            </w:r>
          </w:p>
        </w:tc>
      </w:tr>
    </w:tbl>
    <w:sectPr>
      <w:headerReference w:type="default" r:id="rId7"/>
      <w:footerReference w:type="default" r:id="rId8"/>
      <w:pgSz w:w="11906" w:h="16838" w:orient="portrait"/>
      <w:pgMar w:top="1000" w:right="1100" w:bottom="1000" w:left="110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>
      <w:pPr>
        <w:spacing w:after="0" w:line="240" w:lineRule="auto"/>
      </w:pPr>
      <w:r>
        <w:rPr>
          <w:rStyle w:val="EndnoteReference"/>
        </w:rPr>
        <w:endnoteRef/>
      </w:r>
      <w:r>
        <w:separator/>
      </w:r>
    </w:p>
  </w:endnote>
  <w:endnote w:type="continuationSeparator" w:id="0">
    <w:p>
      <w:pPr>
        <w:spacing w:after="0" w:line="240" w:lineRule="auto"/>
      </w:pPr>
      <w:r>
        <w:rPr>
          <w:rStyle w:val="EndnoteReference"/>
        </w:rPr>
        <w:endnoteRef/>
      </w: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>
  <w:p>
    <w:pPr>
      <w:jc w:val="center"/>
    </w:pPr>
    <w:r>
      <w:rPr>
        <w:color w:val="999999"/>
        <w:sz w:val="16"/>
        <w:szCs w:val="16"/>
      </w:rPr>
      <w:t xml:space="preserve">Página </w:t>
    </w:r>
    <w:r>
      <w:rPr>
        <w:color w:val="999999"/>
        <w:sz w:val="16"/>
        <w:szCs w:val="16"/>
      </w:rPr>
      <w:fldChar w:fldCharType="begin"/>
      <w:instrText xml:space="preserve">PAGE</w:instrText>
      <w:fldChar w:fldCharType="separate"/>
      <w:fldChar w:fldCharType="end"/>
    </w:r>
    <w:r>
      <w:rPr>
        <w:color w:val="999999"/>
        <w:sz w:val="16"/>
        <w:szCs w:val="16"/>
      </w:rPr>
      <w:t xml:space="preserve"> de </w:t>
    </w:r>
    <w:r>
      <w:rPr>
        <w:color w:val="999999"/>
        <w:sz w:val="16"/>
        <w:szCs w:val="16"/>
      </w:rPr>
      <w:fldChar w:fldCharType="begin"/>
      <w:instrText xml:space="preserve">NUMPAGES</w:instrText>
      <w:fldChar w:fldCharType="separate"/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>
  <w:p>
    <w:pPr>
      <w:jc w:val="right"/>
    </w:pPr>
    <w:r>
      <w:rPr>
        <w:color w:val="999999"/>
        <w:sz w:val="16"/>
        <w:szCs w:val="16"/>
      </w:rPr>
      <w:t xml:space="preserve">Configuração da API Oficial do WhatsApp — Guia Passo a Passo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abstractNum w:abstractNumId="2" w15:restartNumberingAfterBreak="0">
    <w:multiLevelType w:val="hybridMultilevel"/>
    <w:lvl w:ilvl="0" w15:tentative="1">
      <w:start w:val="1"/>
      <w:numFmt w:val="bullet"/>
      <w:lvlText w:val="•"/>
      <w:lvlJc w:val="left"/>
      <w:pPr>
        <w:ind w:left="420" w:hanging="260"/>
      </w:pPr>
    </w:lvl>
  </w:abstractNum>
  <w:abstractNum w:abstractNumId="3" w15:restartNumberingAfterBreak="0">
    <w:multiLevelType w:val="hybridMultilevel"/>
    <w:lvl w:ilvl="0" w15:tentative="1">
      <w:start w:val="1"/>
      <w:numFmt w:val="decimal"/>
      <w:lvlText w:val="%1."/>
      <w:lvlJc w:val="left"/>
      <w:pPr>
        <w:ind w:left="420" w:hanging="260"/>
      </w:pPr>
    </w:lvl>
  </w:abstractNum>
  <w:num w:numId="1">
    <w:abstractNumId w:val="1"/>
    <w:lvlOverride w:ilvl="0">
      <w:startOverride w:val="1"/>
    </w:lvlOverride>
  </w:num>
  <w:num w:numId="2">
    <w:abstractNumId w:val="3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name="compatibilityMode" w:uri="http://schemas.microsoft.com/office/word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EndnoteTextChar">
    <w:name w:val="Endnote Text Char"/>
    <w:basedOn w:val="DefaultParagraphFont"/>
    <w:link w:val="End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endnotes" Target="endnotes.xml"/><Relationship Id="rId5" Type="http://schemas.openxmlformats.org/officeDocument/2006/relationships/settings" Target="settings.xml"/><Relationship Id="rId6" Type="http://schemas.openxmlformats.org/officeDocument/2006/relationships/comments" Target="comments.xml"/><Relationship Id="rId7" Type="http://schemas.openxmlformats.org/officeDocument/2006/relationships/header" Target="header1.xml"/><Relationship Id="rId8" Type="http://schemas.openxmlformats.org/officeDocument/2006/relationships/footer" Target="footer1.xml"/><Relationship Id="rId9" Type="http://schemas.openxmlformats.org/officeDocument/2006/relationships/image" Target="media/11050df0d19096274128796bd5d37fb573588303.png"/><Relationship Id="rId10" Type="http://schemas.openxmlformats.org/officeDocument/2006/relationships/image" Target="media/5d4d6d31fb5bc8344615730b9365192113c2bc5d.png"/><Relationship Id="rId11" Type="http://schemas.openxmlformats.org/officeDocument/2006/relationships/image" Target="media/194dc2e294886725651faa6aaac16f415f6a41fd.png"/><Relationship Id="rId12" Type="http://schemas.openxmlformats.org/officeDocument/2006/relationships/image" Target="media/e9855eedc919e0b5c25efc0e004b9a36eba3a415.png"/><Relationship Id="rId13" Type="http://schemas.openxmlformats.org/officeDocument/2006/relationships/image" Target="media/22ac6ee67864ad2da56d8d97d553a6c903a8d9b5.png"/><Relationship Id="rId14" Type="http://schemas.openxmlformats.org/officeDocument/2006/relationships/image" Target="media/11f7d4601389d85c9b77092fbd8983bfc35084f2.png"/><Relationship Id="rId15" Type="http://schemas.openxmlformats.org/officeDocument/2006/relationships/image" Target="media/45949b1e0d0281f1acf94bed31d9822d2c777309.png"/><Relationship Id="rId16" Type="http://schemas.openxmlformats.org/officeDocument/2006/relationships/image" Target="media/31bb44480492a38606b37c9affcd3cd68177a236.png"/><Relationship Id="rId17" Type="http://schemas.openxmlformats.org/officeDocument/2006/relationships/image" Target="media/5871646d7fdeab305a316cb9287859bbf2242a14.png"/><Relationship Id="rId18" Type="http://schemas.openxmlformats.org/officeDocument/2006/relationships/image" Target="media/057ec80ed38ebf1862169029d52b565a1853efaf.png"/><Relationship Id="rId19" Type="http://schemas.openxmlformats.org/officeDocument/2006/relationships/image" Target="media/d3d979293474ef8814dfa402a638e25f7fa6e5d7.png"/><Relationship Id="rId20" Type="http://schemas.openxmlformats.org/officeDocument/2006/relationships/image" Target="media/59b06c5dbf1a904e30787d679f968d8330a2e21a.png"/><Relationship Id="rId21" Type="http://schemas.openxmlformats.org/officeDocument/2006/relationships/image" Target="media/7b814ffb435519f2500a1bac7b2e6b4b3b7d73d1.png"/><Relationship Id="rId22" Type="http://schemas.openxmlformats.org/officeDocument/2006/relationships/image" Target="media/f1a38a04af919bab8dbf22bb0bb2b13dcc46e31e.png"/><Relationship Id="rId23" Type="http://schemas.openxmlformats.org/officeDocument/2006/relationships/image" Target="media/e8aa6e8d6f2b662b01760526bd40975d7b37e4f1.png"/><Relationship Id="rId24" Type="http://schemas.openxmlformats.org/officeDocument/2006/relationships/image" Target="media/395eddb858d43984380cdca67957fde0018bc078.png"/><Relationship Id="rId25" Type="http://schemas.openxmlformats.org/officeDocument/2006/relationships/image" Target="media/3fce186fd1a2ceaab0ea199ca1ec1930e549d99c.png"/><Relationship Id="rId26" Type="http://schemas.openxmlformats.org/officeDocument/2006/relationships/image" Target="media/fec27fe76922d895906379db2b35e40ebb3139c2.png"/><Relationship Id="rId27" Type="http://schemas.openxmlformats.org/officeDocument/2006/relationships/image" Target="media/fbcf904e356d988cbc43ad25c126e99b7c8cfaee.png"/><Relationship Id="rId28" Type="http://schemas.openxmlformats.org/officeDocument/2006/relationships/image" Target="media/9e0f9cd862583ee77b0b2ae4c61bcbdd78253e55.png"/><Relationship Id="rId29" Type="http://schemas.openxmlformats.org/officeDocument/2006/relationships/image" Target="media/e1cb894d2ca38f7d3bc6fa4fd9d2f8aa1852588d.png"/><Relationship Id="rId30" Type="http://schemas.openxmlformats.org/officeDocument/2006/relationships/image" Target="media/dc8c74aa6c05b99069d75c25512d8146734b01ba.png"/><Relationship Id="rId31" Type="http://schemas.openxmlformats.org/officeDocument/2006/relationships/image" Target="media/f2204d2d820c480462d60048b58031f0cf8392e0.png"/><Relationship Id="rId32" Type="http://schemas.openxmlformats.org/officeDocument/2006/relationships/image" Target="media/cf7a101c22ec3592176bd68c566c064a6b184596.png"/><Relationship Id="rId33" Type="http://schemas.openxmlformats.org/officeDocument/2006/relationships/image" Target="media/ae4230b571b7d18aced7d9e7a72d23c6faa4d437.png"/><Relationship Id="rId34" Type="http://schemas.openxmlformats.org/officeDocument/2006/relationships/image" Target="media/ac23f9ed0d334de60a484243b15482db30ad32df.png"/><Relationship Id="rId35" Type="http://schemas.openxmlformats.org/officeDocument/2006/relationships/image" Target="media/728517d6c54fcafea7d0909a88f6f9e6fbab6a4c.png"/><Relationship Id="rId36" Type="http://schemas.openxmlformats.org/officeDocument/2006/relationships/image" Target="media/cf380f51eeb4c81002cccf49678dd1111dcb6755.png"/><Relationship Id="rId37" Type="http://schemas.openxmlformats.org/officeDocument/2006/relationships/image" Target="media/ed266c177cf82a0991255a4f8bc82e65533d3d78.png"/><Relationship Id="rId38" Type="http://schemas.openxmlformats.org/officeDocument/2006/relationships/image" Target="media/4f3c237adad611563e2f971e95520c02582c3767.png"/><Relationship Id="rId39" Type="http://schemas.openxmlformats.org/officeDocument/2006/relationships/image" Target="media/289a6a3c6ea723bec536866a48ed8de77076adcd.png"/><Relationship Id="rId40" Type="http://schemas.openxmlformats.org/officeDocument/2006/relationships/image" Target="media/550679885e06a424840a267b3791c6258491ce2d.png"/><Relationship Id="rId41" Type="http://schemas.openxmlformats.org/officeDocument/2006/relationships/image" Target="media/b20fb793879462d85cc4e76c0f6f1ec74316031d.png"/><Relationship Id="rId42" Type="http://schemas.openxmlformats.org/officeDocument/2006/relationships/image" Target="media/94fa2b51dc2fb63b5a73f189c886157eca7711ef.png"/><Relationship Id="rId43" Type="http://schemas.openxmlformats.org/officeDocument/2006/relationships/image" Target="media/6f32c56777df1bb81bd37b101395a504b1b9b983.png"/><Relationship Id="rId44" Type="http://schemas.openxmlformats.org/officeDocument/2006/relationships/fontTable" Target="fontTable.xml"/></Relationships>
</file>

<file path=word/_rels/endnotes.xml.rels><?xml version="1.0" encoding="UTF-8"?><Relationships xmlns="http://schemas.openxmlformats.org/package/2006/relationships"/>
</file>

<file path=word/_rels/fontTable.xml.rels><?xml version="1.0" encoding="UTF-8"?><Relationships xmlns="http://schemas.openxmlformats.org/package/2006/relationships"/>
</file>

<file path=word/_rels/footer1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word/_rels/header1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2026-07-02T13:46:25.189Z</dcterms:created>
  <dcterms:modified xsi:type="dcterms:W3CDTF">2026-07-02T13:46:25.189Z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